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8F" w:rsidRPr="00D9178F" w:rsidRDefault="00D9178F" w:rsidP="00D9178F">
      <w:pPr>
        <w:spacing w:after="150" w:line="240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Một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số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quy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định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mới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về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xử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phạt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vi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phạm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hành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chính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trong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lĩnh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vực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đất</w:t>
      </w:r>
      <w:proofErr w:type="spellEnd"/>
      <w:r w:rsidRPr="00D9178F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FF0000"/>
          <w:szCs w:val="28"/>
        </w:rPr>
        <w:t>đai</w:t>
      </w:r>
      <w:proofErr w:type="spellEnd"/>
    </w:p>
    <w:p w:rsidR="00D9178F" w:rsidRPr="00D9178F" w:rsidRDefault="00D9178F" w:rsidP="00D9178F">
      <w:pPr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D9178F">
        <w:rPr>
          <w:rFonts w:eastAsia="Times New Roman" w:cs="Times New Roman"/>
          <w:color w:val="212529"/>
          <w:szCs w:val="28"/>
        </w:rPr>
        <w:t>   </w:t>
      </w:r>
    </w:p>
    <w:p w:rsidR="00D9178F" w:rsidRP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Từ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ngày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04/10/2024,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quy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định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xử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phạt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vi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phạm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hành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lĩnh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vực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đất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đai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sẽ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t>theo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</w:rPr>
        <w:t> 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</w:rPr>
        <w:fldChar w:fldCharType="begin"/>
      </w:r>
      <w:r w:rsidRPr="00D9178F">
        <w:rPr>
          <w:rFonts w:eastAsia="Times New Roman" w:cs="Times New Roman"/>
          <w:b/>
          <w:bCs/>
          <w:color w:val="000000"/>
          <w:szCs w:val="28"/>
        </w:rPr>
        <w:instrText xml:space="preserve"> HYPERLINK "https://thuvienphapluat.vn/van-ban/Bat-dong-san/Nghi-dinh-123-2024-ND-CP-xu-phat-vi-pham-hanh-chinh-linh-vuc-dat-dai-626370.aspx" \t "_blank" </w:instrText>
      </w:r>
      <w:r w:rsidRPr="00D9178F">
        <w:rPr>
          <w:rFonts w:eastAsia="Times New Roman" w:cs="Times New Roman"/>
          <w:b/>
          <w:bCs/>
          <w:color w:val="000000"/>
          <w:szCs w:val="28"/>
        </w:rPr>
        <w:fldChar w:fldCharType="separate"/>
      </w:r>
      <w:r w:rsidRPr="00D9178F">
        <w:rPr>
          <w:rFonts w:eastAsia="Times New Roman" w:cs="Times New Roman"/>
          <w:b/>
          <w:bCs/>
          <w:color w:val="000000"/>
          <w:szCs w:val="28"/>
          <w:u w:val="single"/>
        </w:rPr>
        <w:t>Nghị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u w:val="single"/>
        </w:rPr>
        <w:t>định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123/2024/NĐ-CP</w:t>
      </w:r>
      <w:r w:rsidRPr="00D9178F">
        <w:rPr>
          <w:rFonts w:eastAsia="Times New Roman" w:cs="Times New Roman"/>
          <w:b/>
          <w:bCs/>
          <w:color w:val="000000"/>
          <w:szCs w:val="28"/>
        </w:rPr>
        <w:fldChar w:fldCharType="end"/>
      </w:r>
      <w:r w:rsidRPr="00D9178F">
        <w:rPr>
          <w:rFonts w:eastAsia="Times New Roman" w:cs="Times New Roman"/>
          <w:b/>
          <w:bCs/>
          <w:color w:val="000000"/>
          <w:szCs w:val="28"/>
        </w:rPr>
        <w:t>.</w:t>
      </w:r>
    </w:p>
    <w:p w:rsidR="00D9178F" w:rsidRP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D9178F">
        <w:rPr>
          <w:rFonts w:eastAsia="Times New Roman" w:cs="Times New Roman"/>
          <w:b/>
          <w:bCs/>
          <w:color w:val="000000"/>
          <w:szCs w:val="28"/>
        </w:rPr>
        <w:t> 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Nghị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định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123/2024/NĐ-CP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ngày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04/10/2024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của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Chính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phủ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ban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hành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nhằm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thay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thế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Nghị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định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91/2019/NĐ-CP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ngày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19/11/2019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về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xử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phạt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vi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phạm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hành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chính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trong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lĩnh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vực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đất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đai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. So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với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Nghị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định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số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91/2019/NĐ-CP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ngày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19/11/2019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của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Chính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phủ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thì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Nghị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định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số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123/2024/NĐ-CP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của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Chính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phủ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có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một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số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điểm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mới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như</w:t>
      </w:r>
      <w:proofErr w:type="spellEnd"/>
      <w:r w:rsidRPr="00D9178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</w:rPr>
        <w:t>sau</w:t>
      </w:r>
      <w:proofErr w:type="spellEnd"/>
      <w:r w:rsidRPr="00D9178F">
        <w:rPr>
          <w:rFonts w:eastAsia="Times New Roman" w:cs="Times New Roman"/>
          <w:color w:val="333333"/>
          <w:szCs w:val="28"/>
        </w:rPr>
        <w:t>: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Thứ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nhất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: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Về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phạm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điều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chỉnh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Phạm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điều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chỉnh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Nghị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123/2024/NĐ-CP 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bao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gồm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cả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các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vi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phạm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chính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đã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kết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thúc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và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đang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thực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hiện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trong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khi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Nghị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định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91/2019/NĐ-CP 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chỉ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đề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cập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chung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đến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vi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phạm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chính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.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Điều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này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có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nghĩa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là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ngay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cả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khi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vi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phạm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đã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xảy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ra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trong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quá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khứ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người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dân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vẫn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có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thể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bị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xử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phạt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nếu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vi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đó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được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phát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hiện.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Thứ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2: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Bổ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sung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biện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pháp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khắc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phục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hậu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quả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Bổ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sung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thêm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một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số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biện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pháp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mới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gồm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buộc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đăng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ký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đất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đai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và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buộc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thực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hiện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thủ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tục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để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được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phê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duyệt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dự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án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chăn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nuôi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tập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trung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có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quy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mô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lớn.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  <w:shd w:val="clear" w:color="auto" w:fill="FAFAFA"/>
        </w:rPr>
        <w:t>Thứ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  <w:shd w:val="clear" w:color="auto" w:fill="FAFAFA"/>
        </w:rPr>
        <w:t> 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  <w:shd w:val="clear" w:color="auto" w:fill="FAFAFA"/>
        </w:rPr>
        <w:t>ba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  <w:shd w:val="clear" w:color="auto" w:fill="FAFAFA"/>
        </w:rPr>
        <w:t>: </w:t>
      </w:r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Thu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hẹp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diện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tích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tối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thiểu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bị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xử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phạt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đối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với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vi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lấn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chiếm</w:t>
      </w:r>
      <w:proofErr w:type="spellEnd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pacing w:val="-8"/>
          <w:szCs w:val="28"/>
          <w:bdr w:val="none" w:sz="0" w:space="0" w:color="auto" w:frame="1"/>
          <w:shd w:val="clear" w:color="auto" w:fill="FAFAFA"/>
        </w:rPr>
        <w:t>đất</w:t>
      </w:r>
      <w:proofErr w:type="spellEnd"/>
      <w:r w:rsidRPr="00D9178F">
        <w:rPr>
          <w:rFonts w:eastAsia="Times New Roman" w:cs="Times New Roman"/>
          <w:color w:val="333333"/>
          <w:szCs w:val="28"/>
        </w:rPr>
        <w:br/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Nghị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123/2024/NĐ-CP,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được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nâng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lên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3-5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 (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Nghị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91/2019/NĐ-CP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này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là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2-3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),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thời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thu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hẹp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diện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tích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lấn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chiếm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xử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phạm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0.05ha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xuống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còn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 0.02ha.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Thứ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tư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: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Có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thể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tới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200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sử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dụng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trồng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lúa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sang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loại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khác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mà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được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cơ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quan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có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thẩm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quyền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cho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phép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Nghị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123/2024/NĐ-CP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cụ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thể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trường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hợp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sử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dụng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lúa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sang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loại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khác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được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cơ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quan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Nhà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nước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có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thẩm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quyền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phép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.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Cụ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thể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: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-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chuyển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lúa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sang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loại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khác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trong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nhóm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nghiệp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tiền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2 - 30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;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-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chuyển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lúa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sang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phi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nghiệp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(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phải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ở)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3-150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;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-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chuyển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lúa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sang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ở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20-200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tùy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theo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diện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tích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.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-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chuyển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lúa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sang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phi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nghiệp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phường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trấn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thì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hình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xử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bằng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2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lần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tương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ứng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trên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.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sử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dụng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các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loại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khác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sang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chăn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nuôi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tập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trung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khi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thực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hiện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dự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án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chăn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nuôi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tập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trung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quy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mô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lớn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mà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được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cơ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quan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Nhà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nước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có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thẩm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quyền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cho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phép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20-100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tùy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vào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diện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tích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pacing w:val="-4"/>
          <w:szCs w:val="28"/>
          <w:bdr w:val="none" w:sz="0" w:space="0" w:color="auto" w:frame="1"/>
        </w:rPr>
        <w:t>phạm.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Thứ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năm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: 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lấn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hoặc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chiếm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tới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1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tỷ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đồng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Nghị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123/2024/NĐ-CP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rõ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các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lấn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chiếm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.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Cụ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thể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lấn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hoặc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chiếm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do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cơ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quan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tổ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Nhà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nước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quản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lý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được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thể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hiện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trong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hồ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sơ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hoặc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các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văn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bản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giao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để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quản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lý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3-200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tùy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vào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diện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tích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.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-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lấn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hoặc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chiếm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nghiệp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(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phải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lúa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rừng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đặc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dụng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rừng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phòng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hộ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rừng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sản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xuất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)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trường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hợp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 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kể</w:t>
      </w:r>
      <w:proofErr w:type="spellEnd"/>
      <w:proofErr w:type="gram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trên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thì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cũng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3-200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tùy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vào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diện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tích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.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-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lấn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hoặc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chiếm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nghiệp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lúa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rừng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đặc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dụng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rừng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phòng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hộ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rừng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sản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xuất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trường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hợp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thì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5 - 200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.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 </w:t>
      </w: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-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lấn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hoặc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chiếm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phi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nghiệp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trường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hợp</w:t>
      </w:r>
      <w:proofErr w:type="spellEnd"/>
      <w:r w:rsidRPr="00D9178F">
        <w:rPr>
          <w:rFonts w:eastAsia="Times New Roman" w:cs="Times New Roman"/>
          <w:color w:val="333333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thì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5 - 200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.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-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lấn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hoặc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chiếm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thuộc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phường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trấn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thì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xử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bằng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02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lần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xử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loại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tương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ứng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ở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trên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quá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500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cá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nhân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quá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1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tỷ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tổ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.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-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10-500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đồng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sử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dụng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Nhà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nước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có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quyết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giao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thuê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nhưng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người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được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giao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thuê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chưa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được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bàn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giao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trên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thực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.</w:t>
      </w:r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-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tiền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trên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áp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dụng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cá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nhân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.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tiền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tổ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bằng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2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lần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cá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nhân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có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cùng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một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phạm.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Thứ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sáu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,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về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độ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khôi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phục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lại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tình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trạng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ban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đầu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trước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khi</w:t>
      </w:r>
      <w:proofErr w:type="spellEnd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b/>
          <w:bCs/>
          <w:color w:val="212529"/>
          <w:spacing w:val="-8"/>
          <w:szCs w:val="28"/>
          <w:bdr w:val="none" w:sz="0" w:space="0" w:color="auto" w:frame="1"/>
        </w:rPr>
        <w:t>phạm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Tại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khoản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5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Điều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14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Nghị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giao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Ủy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ban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nhân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dân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cấp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tỉnh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căn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cứ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tình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hình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thực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tế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tại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phương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để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các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trường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hợp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có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độ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phục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lại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tình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trạng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ban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đầu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đối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hủy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hoại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.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này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giao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quyền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cho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các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phương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xác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các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trường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hợp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có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mức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độ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khôi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phục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lại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tình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trạng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ban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đầu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của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hành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vi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hủy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hoại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đất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để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đảm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bảo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sự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phù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hợp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thực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tế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phương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, qua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đó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đảm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bảo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tính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khả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và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phù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hợp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với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địa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phương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cụ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thể.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Thứ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bảy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, 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Quyết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định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xử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phạt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vi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phạm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chính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đã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chấp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được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công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bố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công</w:t>
      </w:r>
      <w:proofErr w:type="spellEnd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AFAFA"/>
        </w:rPr>
        <w:t>khai</w:t>
      </w:r>
      <w:proofErr w:type="spellEnd"/>
    </w:p>
    <w:p w:rsid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lastRenderedPageBreak/>
        <w:t xml:space="preserve">Theo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quy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định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tại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Khoản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3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Điều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33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Nghị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định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123/2024/NĐ-CP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thì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các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trường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hợp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có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vi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phạm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chính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trong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lĩnh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vực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đất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đai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và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các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trường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hợp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đã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chấp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hành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xong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quyết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định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xử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phạt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vi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phạm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sẽ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được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đăng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công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khai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trên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Cổng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thông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tin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điện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tử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của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Bộ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Tài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nguyên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và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Môi</w:t>
      </w:r>
      <w:proofErr w:type="spellEnd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9178F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AFAFA"/>
        </w:rPr>
        <w:t>trường.</w:t>
      </w:r>
      <w:proofErr w:type="spellEnd"/>
    </w:p>
    <w:p w:rsidR="00D9178F" w:rsidRPr="00D9178F" w:rsidRDefault="00D9178F" w:rsidP="00D9178F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bookmarkStart w:id="0" w:name="_GoBack"/>
      <w:bookmarkEnd w:id="0"/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Quy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định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trên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có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hiệu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lực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 xml:space="preserve"> </w:t>
      </w:r>
      <w:proofErr w:type="spellStart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từ</w:t>
      </w:r>
      <w:proofErr w:type="spellEnd"/>
      <w:r w:rsidRPr="00D9178F">
        <w:rPr>
          <w:rFonts w:eastAsia="Times New Roman" w:cs="Times New Roman"/>
          <w:color w:val="212529"/>
          <w:szCs w:val="28"/>
          <w:bdr w:val="none" w:sz="0" w:space="0" w:color="auto" w:frame="1"/>
        </w:rPr>
        <w:t> </w:t>
      </w:r>
      <w:proofErr w:type="spellStart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>ngày</w:t>
      </w:r>
      <w:proofErr w:type="spellEnd"/>
      <w:r w:rsidRPr="00D9178F">
        <w:rPr>
          <w:rFonts w:eastAsia="Times New Roman" w:cs="Times New Roman"/>
          <w:b/>
          <w:bCs/>
          <w:color w:val="212529"/>
          <w:szCs w:val="28"/>
          <w:bdr w:val="none" w:sz="0" w:space="0" w:color="auto" w:frame="1"/>
        </w:rPr>
        <w:t xml:space="preserve"> 4/10/2024.</w:t>
      </w:r>
    </w:p>
    <w:p w:rsidR="00510CC3" w:rsidRPr="00D9178F" w:rsidRDefault="00510CC3" w:rsidP="00D9178F">
      <w:pPr>
        <w:jc w:val="both"/>
        <w:rPr>
          <w:rFonts w:cs="Times New Roman"/>
          <w:szCs w:val="28"/>
        </w:rPr>
      </w:pPr>
    </w:p>
    <w:sectPr w:rsidR="00510CC3" w:rsidRPr="00D9178F" w:rsidSect="00D9178F">
      <w:pgSz w:w="12240" w:h="15840"/>
      <w:pgMar w:top="1440" w:right="118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8F"/>
    <w:rsid w:val="00510CC3"/>
    <w:rsid w:val="00D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45DE"/>
  <w15:chartTrackingRefBased/>
  <w15:docId w15:val="{48A7D9F1-FF95-4B24-8A29-C43AC4C6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2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89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5" w:color="B6B6B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5276-F35C-40C0-90A6-545A9BB46BBE}"/>
</file>

<file path=customXml/itemProps2.xml><?xml version="1.0" encoding="utf-8"?>
<ds:datastoreItem xmlns:ds="http://schemas.openxmlformats.org/officeDocument/2006/customXml" ds:itemID="{2ED58292-0859-4BB8-B3E9-A6BAB122C2E7}"/>
</file>

<file path=customXml/itemProps3.xml><?xml version="1.0" encoding="utf-8"?>
<ds:datastoreItem xmlns:ds="http://schemas.openxmlformats.org/officeDocument/2006/customXml" ds:itemID="{A9E051DB-C29E-4BC1-87A2-444103772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2024-10-24T07:32:00Z</dcterms:created>
  <dcterms:modified xsi:type="dcterms:W3CDTF">2024-10-24T07:39:00Z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